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066" w:rsidRPr="004F2BB1" w:rsidRDefault="00451066" w:rsidP="00451066">
      <w:pPr>
        <w:spacing w:line="360" w:lineRule="auto"/>
        <w:rPr>
          <w:rFonts w:ascii="Times New Roman" w:hAnsi="Times New Roman"/>
          <w:sz w:val="24"/>
          <w:lang w:val="en-US"/>
        </w:rPr>
      </w:pPr>
      <w:r w:rsidRPr="004F2BB1">
        <w:rPr>
          <w:rFonts w:ascii="Times New Roman" w:hAnsi="Times New Roman"/>
          <w:sz w:val="24"/>
          <w:lang w:val="en-US"/>
        </w:rPr>
        <w:t>International Summer School will be organized on the basis of the Faculty of Economics, Management and Humanitarian Education. Students, magistrate students and post-graduate students studying in the field of sociology, economics, management, political science, architecture and urban development whose research is connected with the problems of territory development (town, region, area).</w:t>
      </w:r>
    </w:p>
    <w:p w:rsidR="00451066" w:rsidRPr="004F2BB1" w:rsidRDefault="00451066" w:rsidP="00451066">
      <w:pPr>
        <w:spacing w:line="360" w:lineRule="auto"/>
        <w:rPr>
          <w:rFonts w:ascii="Times New Roman" w:hAnsi="Times New Roman"/>
          <w:sz w:val="24"/>
          <w:lang w:val="en-US"/>
        </w:rPr>
      </w:pPr>
      <w:r w:rsidRPr="004F2BB1">
        <w:rPr>
          <w:rFonts w:ascii="Times New Roman" w:hAnsi="Times New Roman"/>
          <w:sz w:val="24"/>
          <w:lang w:val="en-US"/>
        </w:rPr>
        <w:t>The theme of the International Summer School is devoted to the specific character of territorial marketing and is aimed at the solution of problems concerning creation and maintenance of territory image, increase of budget profits, changing of investment climate of a region, region potential realization, attraction of non-material resources into a region (</w:t>
      </w:r>
      <w:proofErr w:type="spellStart"/>
      <w:r w:rsidRPr="004F2BB1">
        <w:rPr>
          <w:rFonts w:ascii="Times New Roman" w:hAnsi="Times New Roman"/>
          <w:sz w:val="24"/>
          <w:lang w:val="en-US"/>
        </w:rPr>
        <w:t>labour</w:t>
      </w:r>
      <w:proofErr w:type="spellEnd"/>
      <w:r w:rsidRPr="004F2BB1">
        <w:rPr>
          <w:rFonts w:ascii="Times New Roman" w:hAnsi="Times New Roman"/>
          <w:sz w:val="24"/>
          <w:lang w:val="en-US"/>
        </w:rPr>
        <w:t xml:space="preserve">, intellectual resources), </w:t>
      </w:r>
      <w:proofErr w:type="gramStart"/>
      <w:r w:rsidRPr="004F2BB1">
        <w:rPr>
          <w:rFonts w:ascii="Times New Roman" w:hAnsi="Times New Roman"/>
          <w:sz w:val="24"/>
          <w:lang w:val="en-US"/>
        </w:rPr>
        <w:t>realization</w:t>
      </w:r>
      <w:proofErr w:type="gramEnd"/>
      <w:r w:rsidRPr="004F2BB1">
        <w:rPr>
          <w:rFonts w:ascii="Times New Roman" w:hAnsi="Times New Roman"/>
          <w:sz w:val="24"/>
          <w:lang w:val="en-US"/>
        </w:rPr>
        <w:t xml:space="preserve"> of social regional </w:t>
      </w:r>
      <w:proofErr w:type="spellStart"/>
      <w:r w:rsidRPr="004F2BB1">
        <w:rPr>
          <w:rFonts w:ascii="Times New Roman" w:hAnsi="Times New Roman"/>
          <w:sz w:val="24"/>
          <w:lang w:val="en-US"/>
        </w:rPr>
        <w:t>programmes</w:t>
      </w:r>
      <w:proofErr w:type="spellEnd"/>
      <w:r w:rsidRPr="004F2BB1">
        <w:rPr>
          <w:rFonts w:ascii="Times New Roman" w:hAnsi="Times New Roman"/>
          <w:sz w:val="24"/>
          <w:lang w:val="en-US"/>
        </w:rPr>
        <w:t>.</w:t>
      </w:r>
    </w:p>
    <w:p w:rsidR="00451066" w:rsidRPr="004F2BB1" w:rsidRDefault="00451066" w:rsidP="00451066">
      <w:pPr>
        <w:spacing w:line="360" w:lineRule="auto"/>
        <w:rPr>
          <w:rFonts w:ascii="Times New Roman" w:hAnsi="Times New Roman"/>
          <w:sz w:val="24"/>
          <w:lang w:val="en-US"/>
        </w:rPr>
      </w:pPr>
      <w:r w:rsidRPr="004F2BB1">
        <w:rPr>
          <w:rFonts w:ascii="Times New Roman" w:hAnsi="Times New Roman"/>
          <w:sz w:val="24"/>
          <w:lang w:val="en-US"/>
        </w:rPr>
        <w:t xml:space="preserve">The </w:t>
      </w:r>
      <w:proofErr w:type="spellStart"/>
      <w:r w:rsidRPr="004F2BB1">
        <w:rPr>
          <w:rFonts w:ascii="Times New Roman" w:hAnsi="Times New Roman"/>
          <w:sz w:val="24"/>
          <w:lang w:val="en-US"/>
        </w:rPr>
        <w:t>programme</w:t>
      </w:r>
      <w:proofErr w:type="spellEnd"/>
      <w:r w:rsidRPr="004F2BB1">
        <w:rPr>
          <w:rFonts w:ascii="Times New Roman" w:hAnsi="Times New Roman"/>
          <w:sz w:val="24"/>
          <w:lang w:val="en-US"/>
        </w:rPr>
        <w:t xml:space="preserve"> employs interdisciplinary approach including the analysis of social-economic, administrative and urban planning aspects of territory development.</w:t>
      </w:r>
    </w:p>
    <w:p w:rsidR="00451066" w:rsidRPr="004F2BB1" w:rsidRDefault="00451066" w:rsidP="00451066">
      <w:pPr>
        <w:spacing w:line="360" w:lineRule="auto"/>
        <w:rPr>
          <w:rFonts w:ascii="Times New Roman" w:hAnsi="Times New Roman"/>
          <w:sz w:val="24"/>
          <w:lang w:val="en-US"/>
        </w:rPr>
      </w:pPr>
      <w:r w:rsidRPr="004F2BB1">
        <w:rPr>
          <w:rFonts w:ascii="Times New Roman" w:hAnsi="Times New Roman"/>
          <w:sz w:val="24"/>
          <w:lang w:val="en-US"/>
        </w:rPr>
        <w:t>Both experts and participants of the International Summer School will focus on the following topics:</w:t>
      </w:r>
    </w:p>
    <w:p w:rsidR="00451066" w:rsidRPr="004F2BB1" w:rsidRDefault="00451066" w:rsidP="00451066">
      <w:pPr>
        <w:numPr>
          <w:ilvl w:val="0"/>
          <w:numId w:val="1"/>
        </w:numPr>
        <w:spacing w:after="200" w:line="360" w:lineRule="auto"/>
        <w:rPr>
          <w:rFonts w:ascii="Times New Roman" w:hAnsi="Times New Roman"/>
          <w:sz w:val="24"/>
          <w:lang w:val="en-US"/>
        </w:rPr>
      </w:pPr>
      <w:r w:rsidRPr="004F2BB1">
        <w:rPr>
          <w:rFonts w:ascii="Times New Roman" w:hAnsi="Times New Roman"/>
          <w:sz w:val="24"/>
          <w:lang w:val="en-US"/>
        </w:rPr>
        <w:t>a territory as an object of investments: factors of investment attractiveness;</w:t>
      </w:r>
    </w:p>
    <w:p w:rsidR="00451066" w:rsidRPr="004F2BB1" w:rsidRDefault="00451066" w:rsidP="00451066">
      <w:pPr>
        <w:numPr>
          <w:ilvl w:val="0"/>
          <w:numId w:val="1"/>
        </w:numPr>
        <w:spacing w:after="200" w:line="360" w:lineRule="auto"/>
        <w:rPr>
          <w:rFonts w:ascii="Times New Roman" w:hAnsi="Times New Roman"/>
          <w:sz w:val="24"/>
          <w:lang w:val="en-US"/>
        </w:rPr>
      </w:pPr>
      <w:r w:rsidRPr="004F2BB1">
        <w:rPr>
          <w:rFonts w:ascii="Times New Roman" w:hAnsi="Times New Roman"/>
          <w:sz w:val="24"/>
          <w:lang w:val="en-US"/>
        </w:rPr>
        <w:t>advancement of investment opportunities of a region;</w:t>
      </w:r>
    </w:p>
    <w:p w:rsidR="00451066" w:rsidRPr="004F2BB1" w:rsidRDefault="00451066" w:rsidP="00451066">
      <w:pPr>
        <w:numPr>
          <w:ilvl w:val="0"/>
          <w:numId w:val="1"/>
        </w:numPr>
        <w:spacing w:after="200" w:line="360" w:lineRule="auto"/>
        <w:rPr>
          <w:rFonts w:ascii="Times New Roman" w:hAnsi="Times New Roman"/>
          <w:sz w:val="24"/>
          <w:lang w:val="en-US"/>
        </w:rPr>
      </w:pPr>
      <w:r w:rsidRPr="004F2BB1">
        <w:rPr>
          <w:rFonts w:ascii="Times New Roman" w:hAnsi="Times New Roman"/>
          <w:sz w:val="24"/>
          <w:lang w:val="en-US"/>
        </w:rPr>
        <w:t>the best Russian and international practice of investment attractiveness improvement of a region;</w:t>
      </w:r>
    </w:p>
    <w:p w:rsidR="00451066" w:rsidRPr="004F2BB1" w:rsidRDefault="00451066" w:rsidP="00451066">
      <w:pPr>
        <w:numPr>
          <w:ilvl w:val="0"/>
          <w:numId w:val="1"/>
        </w:numPr>
        <w:spacing w:after="200" w:line="360" w:lineRule="auto"/>
        <w:rPr>
          <w:rFonts w:ascii="Times New Roman" w:hAnsi="Times New Roman"/>
          <w:sz w:val="24"/>
          <w:lang w:val="en-US"/>
        </w:rPr>
      </w:pPr>
      <w:proofErr w:type="spellStart"/>
      <w:r w:rsidRPr="004F2BB1">
        <w:rPr>
          <w:rFonts w:ascii="Times New Roman" w:hAnsi="Times New Roman"/>
          <w:sz w:val="24"/>
          <w:lang w:val="en-US"/>
        </w:rPr>
        <w:t>clusterization</w:t>
      </w:r>
      <w:proofErr w:type="spellEnd"/>
      <w:r w:rsidRPr="004F2BB1">
        <w:rPr>
          <w:rFonts w:ascii="Times New Roman" w:hAnsi="Times New Roman"/>
          <w:sz w:val="24"/>
          <w:lang w:val="en-US"/>
        </w:rPr>
        <w:t xml:space="preserve"> as a factor for the increase of competitiveness and investment attractiveness of a region;</w:t>
      </w:r>
    </w:p>
    <w:p w:rsidR="00451066" w:rsidRPr="004F2BB1" w:rsidRDefault="00451066" w:rsidP="00451066">
      <w:pPr>
        <w:numPr>
          <w:ilvl w:val="0"/>
          <w:numId w:val="1"/>
        </w:numPr>
        <w:spacing w:after="200" w:line="360" w:lineRule="auto"/>
        <w:rPr>
          <w:rFonts w:ascii="Times New Roman" w:hAnsi="Times New Roman"/>
          <w:sz w:val="24"/>
          <w:lang w:val="en-US"/>
        </w:rPr>
      </w:pPr>
      <w:r w:rsidRPr="004F2BB1">
        <w:rPr>
          <w:rFonts w:ascii="Times New Roman" w:hAnsi="Times New Roman"/>
          <w:sz w:val="24"/>
          <w:lang w:val="en-US"/>
        </w:rPr>
        <w:t>the role of architecture in the  formation of a city image;</w:t>
      </w:r>
    </w:p>
    <w:p w:rsidR="00451066" w:rsidRPr="004F2BB1" w:rsidRDefault="00451066" w:rsidP="00451066">
      <w:pPr>
        <w:numPr>
          <w:ilvl w:val="0"/>
          <w:numId w:val="1"/>
        </w:numPr>
        <w:spacing w:after="200" w:line="360" w:lineRule="auto"/>
        <w:rPr>
          <w:rFonts w:ascii="Times New Roman" w:hAnsi="Times New Roman"/>
          <w:sz w:val="24"/>
          <w:lang w:val="en-US"/>
        </w:rPr>
      </w:pPr>
      <w:r w:rsidRPr="004F2BB1">
        <w:rPr>
          <w:rFonts w:ascii="Times New Roman" w:hAnsi="Times New Roman"/>
          <w:sz w:val="24"/>
          <w:lang w:val="en-US"/>
        </w:rPr>
        <w:t>the connection of the history of territory development and its present state;</w:t>
      </w:r>
    </w:p>
    <w:p w:rsidR="00451066" w:rsidRPr="004F2BB1" w:rsidRDefault="00451066" w:rsidP="00451066">
      <w:pPr>
        <w:numPr>
          <w:ilvl w:val="0"/>
          <w:numId w:val="1"/>
        </w:numPr>
        <w:spacing w:after="200" w:line="360" w:lineRule="auto"/>
        <w:rPr>
          <w:rFonts w:ascii="Times New Roman" w:hAnsi="Times New Roman"/>
          <w:sz w:val="24"/>
          <w:lang w:val="en-US"/>
        </w:rPr>
      </w:pPr>
      <w:proofErr w:type="gramStart"/>
      <w:r w:rsidRPr="004F2BB1">
        <w:rPr>
          <w:rFonts w:ascii="Times New Roman" w:hAnsi="Times New Roman"/>
          <w:sz w:val="24"/>
          <w:lang w:val="en-US"/>
        </w:rPr>
        <w:t>mutual</w:t>
      </w:r>
      <w:proofErr w:type="gramEnd"/>
      <w:r w:rsidRPr="004F2BB1">
        <w:rPr>
          <w:rFonts w:ascii="Times New Roman" w:hAnsi="Times New Roman"/>
          <w:sz w:val="24"/>
          <w:lang w:val="en-US"/>
        </w:rPr>
        <w:t xml:space="preserve"> relations of a region and the state: problems of autonomy.</w:t>
      </w:r>
    </w:p>
    <w:p w:rsidR="00451066" w:rsidRPr="004F2BB1" w:rsidRDefault="00451066" w:rsidP="00451066">
      <w:pPr>
        <w:spacing w:line="360" w:lineRule="auto"/>
        <w:rPr>
          <w:rFonts w:ascii="Times New Roman" w:hAnsi="Times New Roman"/>
          <w:sz w:val="24"/>
          <w:lang w:val="en-US"/>
        </w:rPr>
      </w:pPr>
      <w:r w:rsidRPr="004F2BB1">
        <w:rPr>
          <w:rFonts w:ascii="Times New Roman" w:hAnsi="Times New Roman"/>
          <w:sz w:val="24"/>
          <w:lang w:val="en-US"/>
        </w:rPr>
        <w:t xml:space="preserve">The complex </w:t>
      </w:r>
      <w:proofErr w:type="spellStart"/>
      <w:r w:rsidRPr="004F2BB1">
        <w:rPr>
          <w:rFonts w:ascii="Times New Roman" w:hAnsi="Times New Roman"/>
          <w:sz w:val="24"/>
          <w:lang w:val="en-US"/>
        </w:rPr>
        <w:t>programme</w:t>
      </w:r>
      <w:proofErr w:type="spellEnd"/>
      <w:r w:rsidRPr="004F2BB1">
        <w:rPr>
          <w:rFonts w:ascii="Times New Roman" w:hAnsi="Times New Roman"/>
          <w:sz w:val="24"/>
          <w:lang w:val="en-US"/>
        </w:rPr>
        <w:t xml:space="preserve"> of the International Summer School includes lectures, presentation, workshops and thematic research.</w:t>
      </w:r>
    </w:p>
    <w:p w:rsidR="00451066" w:rsidRPr="004F2BB1" w:rsidRDefault="00451066" w:rsidP="00451066">
      <w:pPr>
        <w:spacing w:after="240" w:line="360" w:lineRule="auto"/>
        <w:jc w:val="both"/>
        <w:rPr>
          <w:rFonts w:ascii="Times New Roman" w:hAnsi="Times New Roman"/>
          <w:color w:val="333333"/>
          <w:sz w:val="24"/>
          <w:lang w:val="en-US" w:eastAsia="ru-RU"/>
        </w:rPr>
      </w:pPr>
      <w:r w:rsidRPr="004F2BB1">
        <w:rPr>
          <w:rFonts w:ascii="Times New Roman" w:hAnsi="Times New Roman"/>
          <w:color w:val="333333"/>
          <w:sz w:val="24"/>
          <w:lang w:val="en-US" w:eastAsia="ru-RU"/>
        </w:rPr>
        <w:t xml:space="preserve">The total amount of academic hours is 48. Supporting 16- hour course of Russian language is delivered by instructors of </w:t>
      </w:r>
      <w:proofErr w:type="spellStart"/>
      <w:r w:rsidRPr="004F2BB1">
        <w:rPr>
          <w:rFonts w:ascii="Times New Roman" w:hAnsi="Times New Roman"/>
          <w:color w:val="333333"/>
          <w:sz w:val="24"/>
          <w:lang w:val="en-US" w:eastAsia="ru-RU"/>
        </w:rPr>
        <w:t>Sinstrin</w:t>
      </w:r>
      <w:proofErr w:type="spellEnd"/>
      <w:r w:rsidRPr="004F2BB1">
        <w:rPr>
          <w:rFonts w:ascii="Times New Roman" w:hAnsi="Times New Roman"/>
          <w:color w:val="333333"/>
          <w:sz w:val="24"/>
          <w:lang w:val="en-US" w:eastAsia="ru-RU"/>
        </w:rPr>
        <w:t xml:space="preserve"> university department of Russian language every morning (Monday to Saturday on the first week and Monday, Tuesday on the second week). After successful completion of a project students are awarded by a Certificate of the </w:t>
      </w:r>
      <w:proofErr w:type="spellStart"/>
      <w:r w:rsidRPr="004F2BB1">
        <w:rPr>
          <w:rFonts w:ascii="Times New Roman" w:hAnsi="Times New Roman"/>
          <w:color w:val="333333"/>
          <w:sz w:val="24"/>
          <w:lang w:val="en-US" w:eastAsia="ru-RU"/>
        </w:rPr>
        <w:t>Sibstrinuniversity</w:t>
      </w:r>
      <w:proofErr w:type="spellEnd"/>
      <w:r w:rsidRPr="004F2BB1">
        <w:rPr>
          <w:rFonts w:ascii="Times New Roman" w:hAnsi="Times New Roman"/>
          <w:color w:val="333333"/>
          <w:sz w:val="24"/>
          <w:lang w:val="en-US" w:eastAsia="ru-RU"/>
        </w:rPr>
        <w:t>.</w:t>
      </w:r>
    </w:p>
    <w:p w:rsidR="00451066" w:rsidRPr="004F2BB1" w:rsidRDefault="00451066" w:rsidP="00451066">
      <w:pPr>
        <w:spacing w:after="240" w:line="360" w:lineRule="auto"/>
        <w:jc w:val="both"/>
        <w:rPr>
          <w:rFonts w:ascii="Times New Roman" w:hAnsi="Times New Roman"/>
          <w:b/>
          <w:bCs/>
          <w:color w:val="333333"/>
          <w:sz w:val="24"/>
          <w:lang w:val="en-US" w:eastAsia="ru-RU"/>
        </w:rPr>
      </w:pPr>
      <w:r w:rsidRPr="004F2BB1">
        <w:rPr>
          <w:rFonts w:ascii="Times New Roman" w:hAnsi="Times New Roman"/>
          <w:b/>
          <w:bCs/>
          <w:color w:val="333333"/>
          <w:sz w:val="24"/>
          <w:lang w:val="en-US" w:eastAsia="ru-RU"/>
        </w:rPr>
        <w:t>Extracurricular activities</w:t>
      </w:r>
    </w:p>
    <w:p w:rsidR="00451066" w:rsidRDefault="00451066" w:rsidP="00451066">
      <w:pPr>
        <w:spacing w:after="240" w:line="360" w:lineRule="auto"/>
        <w:jc w:val="both"/>
        <w:rPr>
          <w:rFonts w:ascii="Times New Roman" w:hAnsi="Times New Roman"/>
          <w:sz w:val="24"/>
          <w:lang w:val="en-US"/>
        </w:rPr>
      </w:pPr>
      <w:r w:rsidRPr="004F2BB1">
        <w:rPr>
          <w:rFonts w:ascii="Times New Roman" w:hAnsi="Times New Roman"/>
          <w:color w:val="333333"/>
          <w:sz w:val="24"/>
          <w:lang w:val="en-US" w:eastAsia="ru-RU"/>
        </w:rPr>
        <w:lastRenderedPageBreak/>
        <w:t>Academic classes are accompanied by the diverse extracurricular activities. School participants are invited to take part in sports contests, a picnic at the university recreation camp</w:t>
      </w:r>
      <w:proofErr w:type="gramStart"/>
      <w:r w:rsidRPr="004F2BB1">
        <w:rPr>
          <w:rFonts w:ascii="Times New Roman" w:hAnsi="Times New Roman"/>
          <w:color w:val="333333"/>
          <w:sz w:val="24"/>
          <w:lang w:val="en-US" w:eastAsia="ru-RU"/>
        </w:rPr>
        <w:t>,  guided</w:t>
      </w:r>
      <w:proofErr w:type="gramEnd"/>
      <w:r w:rsidRPr="004F2BB1">
        <w:rPr>
          <w:rFonts w:ascii="Times New Roman" w:hAnsi="Times New Roman"/>
          <w:color w:val="333333"/>
          <w:sz w:val="24"/>
          <w:lang w:val="en-US" w:eastAsia="ru-RU"/>
        </w:rPr>
        <w:t xml:space="preserve"> tours;  to visit museums, an art gallery, philharmonic concerts, sightseeing, etc. The highlight of the cultural program is a 4-day trip to </w:t>
      </w:r>
      <w:r w:rsidRPr="004F2BB1">
        <w:rPr>
          <w:rFonts w:ascii="Times New Roman" w:hAnsi="Times New Roman"/>
          <w:sz w:val="24"/>
          <w:lang w:val="en-US"/>
        </w:rPr>
        <w:t>Altai Region - true heaven for those, who like nature</w:t>
      </w:r>
      <w:proofErr w:type="gramStart"/>
      <w:r w:rsidRPr="004F2BB1">
        <w:rPr>
          <w:rFonts w:ascii="Times New Roman" w:hAnsi="Times New Roman"/>
          <w:sz w:val="24"/>
          <w:lang w:val="en-US"/>
        </w:rPr>
        <w:t>,  human</w:t>
      </w:r>
      <w:proofErr w:type="gramEnd"/>
      <w:r w:rsidRPr="004F2BB1">
        <w:rPr>
          <w:rFonts w:ascii="Times New Roman" w:hAnsi="Times New Roman"/>
          <w:sz w:val="24"/>
          <w:lang w:val="en-US"/>
        </w:rPr>
        <w:t xml:space="preserve"> history and self-cognition.</w:t>
      </w:r>
    </w:p>
    <w:p w:rsidR="00451066" w:rsidRDefault="00451066" w:rsidP="00451066">
      <w:pPr>
        <w:spacing w:after="240" w:line="360" w:lineRule="auto"/>
        <w:jc w:val="both"/>
        <w:rPr>
          <w:rFonts w:ascii="Times New Roman" w:hAnsi="Times New Roman"/>
          <w:b/>
          <w:bCs/>
          <w:color w:val="333333"/>
          <w:sz w:val="24"/>
          <w:lang w:val="en-US" w:eastAsia="ru-RU"/>
        </w:rPr>
      </w:pPr>
      <w:proofErr w:type="gramStart"/>
      <w:r w:rsidRPr="004F2BB1">
        <w:rPr>
          <w:rFonts w:ascii="Times New Roman" w:hAnsi="Times New Roman"/>
          <w:b/>
          <w:bCs/>
          <w:color w:val="333333"/>
          <w:sz w:val="24"/>
          <w:lang w:val="en-US" w:eastAsia="ru-RU"/>
        </w:rPr>
        <w:t>Accommodation :</w:t>
      </w:r>
      <w:proofErr w:type="gramEnd"/>
    </w:p>
    <w:p w:rsidR="00451066" w:rsidRPr="004F2BB1" w:rsidRDefault="00451066" w:rsidP="00451066">
      <w:pPr>
        <w:spacing w:after="240" w:line="360" w:lineRule="auto"/>
        <w:jc w:val="both"/>
        <w:rPr>
          <w:rFonts w:ascii="Times New Roman" w:hAnsi="Times New Roman"/>
          <w:b/>
          <w:bCs/>
          <w:color w:val="333333"/>
          <w:sz w:val="24"/>
          <w:lang w:val="en-US" w:eastAsia="ru-RU"/>
        </w:rPr>
      </w:pPr>
      <w:proofErr w:type="gramStart"/>
      <w:r w:rsidRPr="004F2BB1">
        <w:rPr>
          <w:rFonts w:ascii="Times New Roman" w:hAnsi="Times New Roman"/>
          <w:color w:val="000000"/>
          <w:sz w:val="24"/>
          <w:lang w:val="en-US" w:eastAsia="ru-RU"/>
        </w:rPr>
        <w:t xml:space="preserve">The </w:t>
      </w:r>
      <w:proofErr w:type="spellStart"/>
      <w:r w:rsidRPr="004F2BB1">
        <w:rPr>
          <w:rFonts w:ascii="Times New Roman" w:hAnsi="Times New Roman"/>
          <w:color w:val="000000"/>
          <w:sz w:val="24"/>
          <w:lang w:val="en-US" w:eastAsia="ru-RU"/>
        </w:rPr>
        <w:t>Sibstrinstudent</w:t>
      </w:r>
      <w:proofErr w:type="spellEnd"/>
      <w:r w:rsidRPr="004F2BB1">
        <w:rPr>
          <w:rFonts w:ascii="Times New Roman" w:hAnsi="Times New Roman"/>
          <w:color w:val="000000"/>
          <w:sz w:val="24"/>
          <w:lang w:val="en-US" w:eastAsia="ru-RU"/>
        </w:rPr>
        <w:t xml:space="preserve"> hostel (double rooms within shared two-room flats with a shower; kitchen on the floor).</w:t>
      </w:r>
      <w:proofErr w:type="gramEnd"/>
      <w:r w:rsidRPr="004F2BB1">
        <w:rPr>
          <w:rFonts w:ascii="Times New Roman" w:hAnsi="Times New Roman"/>
          <w:color w:val="000000"/>
          <w:sz w:val="24"/>
          <w:lang w:val="en-US" w:eastAsia="ru-RU"/>
        </w:rPr>
        <w:t xml:space="preserve">  Students are provided </w:t>
      </w:r>
      <w:proofErr w:type="gramStart"/>
      <w:r w:rsidRPr="004F2BB1">
        <w:rPr>
          <w:rFonts w:ascii="Times New Roman" w:hAnsi="Times New Roman"/>
          <w:color w:val="000000"/>
          <w:sz w:val="24"/>
          <w:lang w:val="en-US" w:eastAsia="ru-RU"/>
        </w:rPr>
        <w:t>by  full</w:t>
      </w:r>
      <w:proofErr w:type="gramEnd"/>
      <w:r w:rsidRPr="004F2BB1">
        <w:rPr>
          <w:rFonts w:ascii="Times New Roman" w:hAnsi="Times New Roman"/>
          <w:color w:val="000000"/>
          <w:sz w:val="24"/>
          <w:lang w:val="en-US" w:eastAsia="ru-RU"/>
        </w:rPr>
        <w:t xml:space="preserve"> board.</w:t>
      </w:r>
    </w:p>
    <w:p w:rsidR="00451066" w:rsidRPr="004F2BB1" w:rsidRDefault="00451066" w:rsidP="00451066">
      <w:pPr>
        <w:spacing w:line="360" w:lineRule="auto"/>
        <w:jc w:val="both"/>
        <w:rPr>
          <w:rFonts w:ascii="Times New Roman" w:hAnsi="Times New Roman"/>
          <w:b/>
          <w:bCs/>
          <w:color w:val="333333"/>
          <w:sz w:val="24"/>
          <w:lang w:val="en-US" w:eastAsia="ru-RU"/>
        </w:rPr>
      </w:pPr>
    </w:p>
    <w:p w:rsidR="00451066" w:rsidRPr="00970A0B" w:rsidRDefault="00451066" w:rsidP="00451066">
      <w:pPr>
        <w:ind w:left="360"/>
        <w:rPr>
          <w:lang w:val="en-US"/>
        </w:rPr>
      </w:pPr>
    </w:p>
    <w:p w:rsidR="00451066" w:rsidRPr="00254828" w:rsidRDefault="00451066" w:rsidP="00451066">
      <w:pPr>
        <w:rPr>
          <w:lang w:val="en-US"/>
        </w:rPr>
      </w:pPr>
    </w:p>
    <w:p w:rsidR="00451066" w:rsidRPr="004F2BB1" w:rsidRDefault="00451066" w:rsidP="00451066">
      <w:pPr>
        <w:rPr>
          <w:lang w:val="en-US"/>
        </w:rPr>
      </w:pPr>
    </w:p>
    <w:p w:rsidR="00451066" w:rsidRPr="00310D72" w:rsidRDefault="00451066" w:rsidP="00451066">
      <w:pPr>
        <w:rPr>
          <w:lang w:val="en-GB"/>
        </w:rPr>
      </w:pPr>
    </w:p>
    <w:p w:rsidR="00B47BC1" w:rsidRDefault="00B47BC1"/>
    <w:sectPr w:rsidR="00B47BC1" w:rsidSect="00B47B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A873D8"/>
    <w:multiLevelType w:val="hybridMultilevel"/>
    <w:tmpl w:val="EFAC2BAE"/>
    <w:lvl w:ilvl="0" w:tplc="1F4644D4">
      <w:numFmt w:val="bullet"/>
      <w:lvlText w:val="-"/>
      <w:lvlJc w:val="left"/>
      <w:pPr>
        <w:tabs>
          <w:tab w:val="num" w:pos="720"/>
        </w:tabs>
        <w:ind w:left="720" w:hanging="360"/>
      </w:pPr>
      <w:rPr>
        <w:rFonts w:ascii="Calibri" w:eastAsia="Times New Roman" w:hAnsi="Calibri"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451066"/>
    <w:rsid w:val="00451066"/>
    <w:rsid w:val="00B47B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066"/>
    <w:pPr>
      <w:spacing w:after="0" w:line="240" w:lineRule="auto"/>
    </w:pPr>
    <w:rPr>
      <w:rFonts w:ascii="Arial" w:eastAsia="Times New Roman" w:hAnsi="Arial" w:cs="Times New Roman"/>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1</cp:revision>
  <dcterms:created xsi:type="dcterms:W3CDTF">2015-11-09T06:15:00Z</dcterms:created>
  <dcterms:modified xsi:type="dcterms:W3CDTF">2015-11-09T06:16:00Z</dcterms:modified>
</cp:coreProperties>
</file>